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90012/2025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12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KuC0bwTLaoofVxwtk5CilTuRTQ==">CgMxLjAyCGguZ2pkZ3hzOAByITEyeHZVNjZucXVUM3RYbERhd2ZzdnEzMDFBU2IzZnhpVw==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